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44B4" w:rsidRPr="008B0F5A" w:rsidRDefault="005538E9" w:rsidP="008B0F5A">
      <w:pPr>
        <w:spacing w:line="259" w:lineRule="auto"/>
        <w:jc w:val="center"/>
        <w:rPr>
          <w:rFonts w:ascii="Calibri" w:eastAsia="Calibri" w:hAnsi="Calibri" w:cs="Calibri"/>
          <w:b/>
          <w:szCs w:val="20"/>
        </w:rPr>
      </w:pPr>
      <w:bookmarkStart w:id="0" w:name="_GoBack"/>
      <w:bookmarkEnd w:id="0"/>
      <w:r w:rsidRPr="008B0F5A">
        <w:rPr>
          <w:rFonts w:ascii="Calibri" w:eastAsia="Calibri" w:hAnsi="Calibri" w:cs="Calibri"/>
          <w:b/>
          <w:szCs w:val="20"/>
        </w:rPr>
        <w:t xml:space="preserve">Qualities of </w:t>
      </w:r>
      <w:r w:rsidR="008B0F5A">
        <w:rPr>
          <w:rFonts w:ascii="Calibri" w:eastAsia="Calibri" w:hAnsi="Calibri" w:cs="Calibri"/>
          <w:b/>
          <w:szCs w:val="20"/>
        </w:rPr>
        <w:t xml:space="preserve">Effective </w:t>
      </w:r>
      <w:r w:rsidRPr="008B0F5A">
        <w:rPr>
          <w:rFonts w:ascii="Calibri" w:eastAsia="Calibri" w:hAnsi="Calibri" w:cs="Calibri"/>
          <w:b/>
          <w:szCs w:val="20"/>
        </w:rPr>
        <w:t>Student Learning Outcome</w:t>
      </w:r>
      <w:r w:rsidR="008B0F5A" w:rsidRPr="008B0F5A">
        <w:rPr>
          <w:rFonts w:ascii="Calibri" w:eastAsia="Calibri" w:hAnsi="Calibri" w:cs="Calibri"/>
          <w:b/>
          <w:szCs w:val="20"/>
        </w:rPr>
        <w:t>s</w:t>
      </w:r>
    </w:p>
    <w:p w:rsidR="00FF44B4" w:rsidRPr="008B0F5A" w:rsidRDefault="005538E9">
      <w:pPr>
        <w:spacing w:after="160" w:line="259" w:lineRule="auto"/>
        <w:jc w:val="center"/>
        <w:rPr>
          <w:rFonts w:ascii="Calibri" w:eastAsia="Calibri" w:hAnsi="Calibri" w:cs="Calibri"/>
          <w:sz w:val="20"/>
          <w:szCs w:val="20"/>
        </w:rPr>
      </w:pPr>
      <w:r w:rsidRPr="008B0F5A">
        <w:rPr>
          <w:rFonts w:ascii="Calibri" w:eastAsia="Calibri" w:hAnsi="Calibri" w:cs="Calibri"/>
          <w:sz w:val="20"/>
          <w:szCs w:val="20"/>
        </w:rPr>
        <w:t>This guide can be used alongside the SLO</w:t>
      </w:r>
      <w:r w:rsidR="008B0F5A" w:rsidRPr="008B0F5A">
        <w:rPr>
          <w:rFonts w:ascii="Calibri" w:eastAsia="Calibri" w:hAnsi="Calibri" w:cs="Calibri"/>
          <w:sz w:val="20"/>
          <w:szCs w:val="20"/>
        </w:rPr>
        <w:t xml:space="preserve"> Review</w:t>
      </w:r>
      <w:r w:rsidRPr="008B0F5A">
        <w:rPr>
          <w:rFonts w:ascii="Calibri" w:eastAsia="Calibri" w:hAnsi="Calibri" w:cs="Calibri"/>
          <w:sz w:val="20"/>
          <w:szCs w:val="20"/>
        </w:rPr>
        <w:t xml:space="preserve"> Checklist.</w:t>
      </w:r>
    </w:p>
    <w:tbl>
      <w:tblPr>
        <w:tblStyle w:val="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4"/>
        <w:gridCol w:w="6166"/>
        <w:gridCol w:w="4870"/>
      </w:tblGrid>
      <w:tr w:rsidR="00FF44B4" w:rsidRPr="008B0F5A">
        <w:trPr>
          <w:trHeight w:val="705"/>
        </w:trPr>
        <w:tc>
          <w:tcPr>
            <w:tcW w:w="3363" w:type="dxa"/>
            <w:vAlign w:val="center"/>
          </w:tcPr>
          <w:p w:rsidR="00FF44B4" w:rsidRPr="008B0F5A" w:rsidRDefault="005538E9">
            <w:pPr>
              <w:jc w:val="center"/>
              <w:rPr>
                <w:rFonts w:ascii="Calibri" w:eastAsia="Calibri" w:hAnsi="Calibri" w:cs="Calibri"/>
                <w:b/>
                <w:szCs w:val="20"/>
              </w:rPr>
            </w:pPr>
            <w:r w:rsidRPr="008B0F5A">
              <w:rPr>
                <w:rFonts w:ascii="Calibri" w:eastAsia="Calibri" w:hAnsi="Calibri" w:cs="Calibri"/>
                <w:b/>
                <w:szCs w:val="20"/>
              </w:rPr>
              <w:t>Student Learning Outcome Qualities</w:t>
            </w:r>
          </w:p>
        </w:tc>
        <w:tc>
          <w:tcPr>
            <w:tcW w:w="6166" w:type="dxa"/>
            <w:vAlign w:val="center"/>
          </w:tcPr>
          <w:p w:rsidR="00FF44B4" w:rsidRPr="008B0F5A" w:rsidRDefault="005538E9">
            <w:pPr>
              <w:jc w:val="center"/>
              <w:rPr>
                <w:rFonts w:ascii="Calibri" w:eastAsia="Calibri" w:hAnsi="Calibri" w:cs="Calibri"/>
                <w:b/>
                <w:szCs w:val="20"/>
              </w:rPr>
            </w:pPr>
            <w:r w:rsidRPr="008B0F5A">
              <w:rPr>
                <w:rFonts w:ascii="Calibri" w:eastAsia="Calibri" w:hAnsi="Calibri" w:cs="Calibri"/>
                <w:b/>
                <w:szCs w:val="20"/>
              </w:rPr>
              <w:t>Common Problems</w:t>
            </w:r>
          </w:p>
        </w:tc>
        <w:tc>
          <w:tcPr>
            <w:tcW w:w="4870" w:type="dxa"/>
            <w:vAlign w:val="center"/>
          </w:tcPr>
          <w:p w:rsidR="00FF44B4" w:rsidRPr="008B0F5A" w:rsidRDefault="005538E9">
            <w:pPr>
              <w:jc w:val="center"/>
              <w:rPr>
                <w:rFonts w:ascii="Calibri" w:eastAsia="Calibri" w:hAnsi="Calibri" w:cs="Calibri"/>
                <w:b/>
                <w:szCs w:val="20"/>
              </w:rPr>
            </w:pPr>
            <w:r w:rsidRPr="008B0F5A">
              <w:rPr>
                <w:rFonts w:ascii="Calibri" w:eastAsia="Calibri" w:hAnsi="Calibri" w:cs="Calibri"/>
                <w:b/>
                <w:szCs w:val="20"/>
              </w:rPr>
              <w:t>Examples</w:t>
            </w:r>
          </w:p>
        </w:tc>
      </w:tr>
      <w:tr w:rsidR="00FF44B4" w:rsidRPr="008B0F5A">
        <w:tc>
          <w:tcPr>
            <w:tcW w:w="3363" w:type="dxa"/>
          </w:tcPr>
          <w:p w:rsidR="00FF44B4" w:rsidRPr="008B0F5A" w:rsidRDefault="005538E9">
            <w:pPr>
              <w:rPr>
                <w:rFonts w:ascii="Calibri" w:eastAsia="Calibri" w:hAnsi="Calibri" w:cs="Calibri"/>
                <w:b/>
                <w:sz w:val="20"/>
                <w:szCs w:val="20"/>
              </w:rPr>
            </w:pPr>
            <w:r w:rsidRPr="008B0F5A">
              <w:rPr>
                <w:rFonts w:ascii="Calibri" w:eastAsia="Calibri" w:hAnsi="Calibri" w:cs="Calibri"/>
                <w:b/>
                <w:sz w:val="20"/>
                <w:szCs w:val="20"/>
              </w:rPr>
              <w:t>1. Student-centered</w:t>
            </w:r>
          </w:p>
          <w:p w:rsidR="00FF44B4" w:rsidRPr="008B0F5A" w:rsidRDefault="005538E9">
            <w:pPr>
              <w:numPr>
                <w:ilvl w:val="0"/>
                <w:numId w:val="2"/>
              </w:numPr>
              <w:rPr>
                <w:rFonts w:ascii="Calibri" w:eastAsia="Calibri" w:hAnsi="Calibri" w:cs="Calibri"/>
                <w:sz w:val="20"/>
                <w:szCs w:val="20"/>
              </w:rPr>
            </w:pPr>
            <w:r w:rsidRPr="008B0F5A">
              <w:rPr>
                <w:rFonts w:ascii="Calibri" w:eastAsia="Calibri" w:hAnsi="Calibri" w:cs="Calibri"/>
                <w:sz w:val="20"/>
                <w:szCs w:val="20"/>
              </w:rPr>
              <w:t>Focus is on what students will be able to do as a result of learning, not on what the instructor will do to teach.</w:t>
            </w:r>
          </w:p>
          <w:p w:rsidR="00FF44B4" w:rsidRPr="008B0F5A" w:rsidRDefault="005538E9">
            <w:pPr>
              <w:numPr>
                <w:ilvl w:val="0"/>
                <w:numId w:val="2"/>
              </w:numPr>
              <w:rPr>
                <w:rFonts w:ascii="Calibri" w:eastAsia="Calibri" w:hAnsi="Calibri" w:cs="Calibri"/>
                <w:sz w:val="20"/>
                <w:szCs w:val="20"/>
              </w:rPr>
            </w:pPr>
            <w:r w:rsidRPr="008B0F5A">
              <w:rPr>
                <w:rFonts w:ascii="Calibri" w:eastAsia="Calibri" w:hAnsi="Calibri" w:cs="Calibri"/>
                <w:sz w:val="20"/>
                <w:szCs w:val="20"/>
              </w:rPr>
              <w:t>Written in a way that students can understand.</w:t>
            </w:r>
          </w:p>
        </w:tc>
        <w:tc>
          <w:tcPr>
            <w:tcW w:w="6166" w:type="dxa"/>
          </w:tcPr>
          <w:p w:rsidR="00FF44B4" w:rsidRPr="008B0F5A" w:rsidRDefault="00FF44B4">
            <w:pPr>
              <w:rPr>
                <w:rFonts w:ascii="Calibri" w:eastAsia="Calibri" w:hAnsi="Calibri" w:cs="Calibri"/>
                <w:sz w:val="20"/>
                <w:szCs w:val="20"/>
              </w:rPr>
            </w:pPr>
          </w:p>
          <w:p w:rsidR="00FF44B4" w:rsidRPr="008B0F5A" w:rsidRDefault="005538E9">
            <w:pPr>
              <w:rPr>
                <w:rFonts w:ascii="Calibri" w:eastAsia="Calibri" w:hAnsi="Calibri" w:cs="Calibri"/>
                <w:sz w:val="20"/>
                <w:szCs w:val="20"/>
              </w:rPr>
            </w:pPr>
            <w:r w:rsidRPr="008B0F5A">
              <w:rPr>
                <w:rFonts w:ascii="Calibri" w:eastAsia="Calibri" w:hAnsi="Calibri" w:cs="Calibri"/>
                <w:sz w:val="20"/>
                <w:szCs w:val="20"/>
              </w:rPr>
              <w:t>Common problems:</w:t>
            </w:r>
          </w:p>
          <w:p w:rsidR="00FF44B4" w:rsidRPr="008B0F5A" w:rsidRDefault="005538E9">
            <w:pPr>
              <w:numPr>
                <w:ilvl w:val="0"/>
                <w:numId w:val="2"/>
              </w:numPr>
              <w:rPr>
                <w:rFonts w:ascii="Calibri" w:eastAsia="Calibri" w:hAnsi="Calibri" w:cs="Calibri"/>
                <w:sz w:val="20"/>
                <w:szCs w:val="20"/>
              </w:rPr>
            </w:pPr>
            <w:r w:rsidRPr="008B0F5A">
              <w:rPr>
                <w:rFonts w:ascii="Calibri" w:eastAsia="Calibri" w:hAnsi="Calibri" w:cs="Calibri"/>
                <w:sz w:val="20"/>
                <w:szCs w:val="20"/>
              </w:rPr>
              <w:t>Uses jargon or unnecessarily technical language. WHY PROBLEMATIC: Could be confusing to students and others. Does not convey welcome and belonging.</w:t>
            </w:r>
          </w:p>
          <w:p w:rsidR="00FF44B4" w:rsidRPr="008B0F5A" w:rsidRDefault="00FF44B4">
            <w:pPr>
              <w:ind w:left="720"/>
              <w:rPr>
                <w:rFonts w:ascii="Calibri" w:eastAsia="Calibri" w:hAnsi="Calibri" w:cs="Calibri"/>
                <w:sz w:val="20"/>
                <w:szCs w:val="20"/>
              </w:rPr>
            </w:pPr>
          </w:p>
          <w:p w:rsidR="00FF44B4" w:rsidRPr="008B0F5A" w:rsidRDefault="005538E9">
            <w:pPr>
              <w:numPr>
                <w:ilvl w:val="0"/>
                <w:numId w:val="2"/>
              </w:numPr>
              <w:rPr>
                <w:rFonts w:ascii="Calibri" w:eastAsia="Calibri" w:hAnsi="Calibri" w:cs="Calibri"/>
                <w:sz w:val="20"/>
                <w:szCs w:val="20"/>
              </w:rPr>
            </w:pPr>
            <w:r w:rsidRPr="008B0F5A">
              <w:rPr>
                <w:rFonts w:ascii="Calibri" w:eastAsia="Calibri" w:hAnsi="Calibri" w:cs="Calibri"/>
                <w:sz w:val="20"/>
                <w:szCs w:val="20"/>
              </w:rPr>
              <w:t>[DEPENDING ON CONTEXT] Uses specific terminology that may shift with changes in the field (e.g. proprietary computer program, technology, or slang). WHY PROBLEMATIC: Can require frequent updates and restricts flexibility for instructors.</w:t>
            </w:r>
          </w:p>
          <w:p w:rsidR="00FF44B4" w:rsidRPr="008B0F5A" w:rsidRDefault="00FF44B4">
            <w:pPr>
              <w:rPr>
                <w:rFonts w:ascii="Calibri" w:eastAsia="Calibri" w:hAnsi="Calibri" w:cs="Calibri"/>
                <w:b/>
                <w:sz w:val="20"/>
                <w:szCs w:val="20"/>
              </w:rPr>
            </w:pPr>
          </w:p>
        </w:tc>
        <w:tc>
          <w:tcPr>
            <w:tcW w:w="4870" w:type="dxa"/>
          </w:tcPr>
          <w:p w:rsidR="00FF44B4" w:rsidRPr="008B0F5A" w:rsidRDefault="00FF44B4">
            <w:pPr>
              <w:rPr>
                <w:rFonts w:ascii="Calibri" w:eastAsia="Calibri" w:hAnsi="Calibri" w:cs="Calibri"/>
                <w:sz w:val="20"/>
                <w:szCs w:val="20"/>
              </w:rPr>
            </w:pPr>
          </w:p>
          <w:p w:rsidR="00FF44B4" w:rsidRPr="008B0F5A" w:rsidRDefault="005538E9">
            <w:pPr>
              <w:rPr>
                <w:rFonts w:ascii="Calibri" w:eastAsia="Calibri" w:hAnsi="Calibri" w:cs="Calibri"/>
                <w:sz w:val="20"/>
                <w:szCs w:val="20"/>
              </w:rPr>
            </w:pPr>
            <w:r w:rsidRPr="008B0F5A">
              <w:rPr>
                <w:rFonts w:ascii="Calibri" w:eastAsia="Calibri" w:hAnsi="Calibri" w:cs="Calibri"/>
                <w:sz w:val="20"/>
                <w:szCs w:val="20"/>
              </w:rPr>
              <w:t>Less student-centered:</w:t>
            </w:r>
          </w:p>
          <w:p w:rsidR="00FF44B4" w:rsidRPr="008B0F5A" w:rsidRDefault="005538E9">
            <w:pPr>
              <w:rPr>
                <w:rFonts w:ascii="Calibri" w:eastAsia="Calibri" w:hAnsi="Calibri" w:cs="Calibri"/>
                <w:sz w:val="20"/>
                <w:szCs w:val="20"/>
              </w:rPr>
            </w:pPr>
            <w:r w:rsidRPr="008B0F5A">
              <w:rPr>
                <w:rFonts w:ascii="Calibri" w:eastAsia="Calibri" w:hAnsi="Calibri" w:cs="Calibri"/>
                <w:sz w:val="20"/>
                <w:szCs w:val="20"/>
              </w:rPr>
              <w:t>The course will introduce students to the fundamental concepts of calculus</w:t>
            </w:r>
          </w:p>
          <w:p w:rsidR="00FF44B4" w:rsidRPr="008B0F5A" w:rsidRDefault="00FF44B4">
            <w:pPr>
              <w:rPr>
                <w:rFonts w:ascii="Calibri" w:eastAsia="Calibri" w:hAnsi="Calibri" w:cs="Calibri"/>
                <w:sz w:val="20"/>
                <w:szCs w:val="20"/>
              </w:rPr>
            </w:pPr>
          </w:p>
          <w:p w:rsidR="00FF44B4" w:rsidRPr="008B0F5A" w:rsidRDefault="00FF44B4">
            <w:pPr>
              <w:rPr>
                <w:rFonts w:ascii="Calibri" w:eastAsia="Calibri" w:hAnsi="Calibri" w:cs="Calibri"/>
                <w:sz w:val="20"/>
                <w:szCs w:val="20"/>
              </w:rPr>
            </w:pPr>
          </w:p>
          <w:p w:rsidR="00FF44B4" w:rsidRPr="008B0F5A" w:rsidRDefault="005538E9">
            <w:pPr>
              <w:rPr>
                <w:rFonts w:ascii="Calibri" w:eastAsia="Calibri" w:hAnsi="Calibri" w:cs="Calibri"/>
                <w:sz w:val="20"/>
                <w:szCs w:val="20"/>
              </w:rPr>
            </w:pPr>
            <w:r w:rsidRPr="008B0F5A">
              <w:rPr>
                <w:rFonts w:ascii="Calibri" w:eastAsia="Calibri" w:hAnsi="Calibri" w:cs="Calibri"/>
                <w:sz w:val="20"/>
                <w:szCs w:val="20"/>
              </w:rPr>
              <w:t>More student-centered:</w:t>
            </w:r>
          </w:p>
          <w:p w:rsidR="00FF44B4" w:rsidRPr="008B0F5A" w:rsidRDefault="005538E9">
            <w:pPr>
              <w:rPr>
                <w:rFonts w:ascii="Calibri" w:eastAsia="Calibri" w:hAnsi="Calibri" w:cs="Calibri"/>
                <w:sz w:val="20"/>
                <w:szCs w:val="20"/>
              </w:rPr>
            </w:pPr>
            <w:r w:rsidRPr="008B0F5A">
              <w:rPr>
                <w:rFonts w:ascii="Calibri" w:eastAsia="Calibri" w:hAnsi="Calibri" w:cs="Calibri"/>
                <w:sz w:val="20"/>
                <w:szCs w:val="20"/>
              </w:rPr>
              <w:t>Upon successful completion of this course, students should be able to calculate derivatives (a fundamental concept of calculus).</w:t>
            </w:r>
          </w:p>
        </w:tc>
      </w:tr>
      <w:tr w:rsidR="00FF44B4" w:rsidRPr="008B0F5A">
        <w:tc>
          <w:tcPr>
            <w:tcW w:w="3363" w:type="dxa"/>
          </w:tcPr>
          <w:p w:rsidR="00FF44B4" w:rsidRPr="008B0F5A" w:rsidRDefault="005538E9">
            <w:pPr>
              <w:rPr>
                <w:rFonts w:ascii="Calibri" w:eastAsia="Calibri" w:hAnsi="Calibri" w:cs="Calibri"/>
                <w:b/>
                <w:sz w:val="20"/>
                <w:szCs w:val="20"/>
              </w:rPr>
            </w:pPr>
            <w:r w:rsidRPr="008B0F5A">
              <w:rPr>
                <w:rFonts w:ascii="Calibri" w:eastAsia="Calibri" w:hAnsi="Calibri" w:cs="Calibri"/>
                <w:b/>
                <w:sz w:val="20"/>
                <w:szCs w:val="20"/>
              </w:rPr>
              <w:t>2. Measurable</w:t>
            </w:r>
          </w:p>
          <w:p w:rsidR="00FF44B4" w:rsidRPr="008B0F5A" w:rsidRDefault="005538E9">
            <w:pPr>
              <w:numPr>
                <w:ilvl w:val="0"/>
                <w:numId w:val="4"/>
              </w:numPr>
              <w:rPr>
                <w:rFonts w:ascii="Calibri" w:eastAsia="Calibri" w:hAnsi="Calibri" w:cs="Calibri"/>
                <w:sz w:val="20"/>
                <w:szCs w:val="20"/>
              </w:rPr>
            </w:pPr>
            <w:r w:rsidRPr="008B0F5A">
              <w:rPr>
                <w:rFonts w:ascii="Calibri" w:eastAsia="Calibri" w:hAnsi="Calibri" w:cs="Calibri"/>
                <w:sz w:val="20"/>
                <w:szCs w:val="20"/>
              </w:rPr>
              <w:t xml:space="preserve">Active verbs indicate cognitive processes that could be observed through products, performances, or other actions. </w:t>
            </w:r>
          </w:p>
          <w:p w:rsidR="00FF44B4" w:rsidRPr="008B0F5A" w:rsidRDefault="005538E9">
            <w:pPr>
              <w:numPr>
                <w:ilvl w:val="0"/>
                <w:numId w:val="4"/>
              </w:numPr>
              <w:rPr>
                <w:rFonts w:ascii="Calibri" w:eastAsia="Calibri" w:hAnsi="Calibri" w:cs="Calibri"/>
                <w:sz w:val="20"/>
                <w:szCs w:val="20"/>
              </w:rPr>
            </w:pPr>
            <w:r w:rsidRPr="008B0F5A">
              <w:rPr>
                <w:rFonts w:ascii="Calibri" w:eastAsia="Calibri" w:hAnsi="Calibri" w:cs="Calibri"/>
                <w:sz w:val="20"/>
                <w:szCs w:val="20"/>
              </w:rPr>
              <w:t>Possible ways of measuring are either suggested by the statement or are not too difficult to imagine.</w:t>
            </w:r>
          </w:p>
        </w:tc>
        <w:tc>
          <w:tcPr>
            <w:tcW w:w="6166" w:type="dxa"/>
          </w:tcPr>
          <w:p w:rsidR="00FF44B4" w:rsidRPr="008B0F5A" w:rsidRDefault="005538E9">
            <w:pPr>
              <w:spacing w:line="259" w:lineRule="auto"/>
              <w:rPr>
                <w:rFonts w:ascii="Calibri" w:eastAsia="Calibri" w:hAnsi="Calibri" w:cs="Calibri"/>
                <w:sz w:val="20"/>
                <w:szCs w:val="20"/>
              </w:rPr>
            </w:pPr>
            <w:r w:rsidRPr="008B0F5A">
              <w:rPr>
                <w:rFonts w:ascii="Calibri" w:eastAsia="Calibri" w:hAnsi="Calibri" w:cs="Calibri"/>
                <w:sz w:val="20"/>
                <w:szCs w:val="20"/>
              </w:rPr>
              <w:t>Common problems:</w:t>
            </w:r>
          </w:p>
          <w:p w:rsidR="00FF44B4" w:rsidRPr="008B0F5A" w:rsidRDefault="005538E9">
            <w:pPr>
              <w:numPr>
                <w:ilvl w:val="0"/>
                <w:numId w:val="5"/>
              </w:numPr>
              <w:spacing w:after="200" w:line="259" w:lineRule="auto"/>
              <w:rPr>
                <w:rFonts w:ascii="Calibri" w:eastAsia="Calibri" w:hAnsi="Calibri" w:cs="Calibri"/>
                <w:sz w:val="20"/>
                <w:szCs w:val="20"/>
              </w:rPr>
            </w:pPr>
            <w:r w:rsidRPr="008B0F5A">
              <w:rPr>
                <w:rFonts w:ascii="Calibri" w:eastAsia="Calibri" w:hAnsi="Calibri" w:cs="Calibri"/>
                <w:sz w:val="20"/>
                <w:szCs w:val="20"/>
              </w:rPr>
              <w:t>Verbs such as “know,” “understand,” and “demonstrate knowledge of.” WHY PROBLEMATIC: These words and phrases are vague; a student or instructor who reads the outcome would not be able to easily identify or imagine concrete ways students could learn and demonstrate learning.</w:t>
            </w:r>
          </w:p>
          <w:p w:rsidR="00FF44B4" w:rsidRPr="008B0F5A" w:rsidRDefault="005538E9">
            <w:pPr>
              <w:numPr>
                <w:ilvl w:val="0"/>
                <w:numId w:val="5"/>
              </w:numPr>
              <w:spacing w:after="200" w:line="259" w:lineRule="auto"/>
              <w:rPr>
                <w:rFonts w:ascii="Calibri" w:eastAsia="Calibri" w:hAnsi="Calibri" w:cs="Calibri"/>
                <w:sz w:val="20"/>
                <w:szCs w:val="20"/>
              </w:rPr>
            </w:pPr>
            <w:r w:rsidRPr="008B0F5A">
              <w:rPr>
                <w:rFonts w:ascii="Calibri" w:eastAsia="Calibri" w:hAnsi="Calibri" w:cs="Calibri"/>
                <w:sz w:val="20"/>
                <w:szCs w:val="20"/>
              </w:rPr>
              <w:t>Lists of specific content (rather than broad concepts as the “umbrella”).  WHY PROBLEMATIC: This might indicate that the outcome is focused on content rather than concepts and skills. Also, lists of specific content can restrict flexibility for instructors.</w:t>
            </w:r>
          </w:p>
          <w:p w:rsidR="00FF44B4" w:rsidRPr="008B0F5A" w:rsidRDefault="005538E9">
            <w:pPr>
              <w:numPr>
                <w:ilvl w:val="0"/>
                <w:numId w:val="5"/>
              </w:numPr>
              <w:spacing w:after="200" w:line="259" w:lineRule="auto"/>
              <w:rPr>
                <w:rFonts w:ascii="Calibri" w:eastAsia="Calibri" w:hAnsi="Calibri" w:cs="Calibri"/>
                <w:sz w:val="20"/>
                <w:szCs w:val="20"/>
              </w:rPr>
            </w:pPr>
            <w:r w:rsidRPr="008B0F5A">
              <w:rPr>
                <w:rFonts w:ascii="Calibri" w:eastAsia="Calibri" w:hAnsi="Calibri" w:cs="Calibri"/>
                <w:sz w:val="20"/>
                <w:szCs w:val="20"/>
              </w:rPr>
              <w:t>Multiple verbs or multiple concepts in one outcome. WHY PROBLEMATIC: This can complicate course design and the assessment process.</w:t>
            </w:r>
          </w:p>
          <w:p w:rsidR="00FF44B4" w:rsidRPr="008B0F5A" w:rsidRDefault="005538E9">
            <w:pPr>
              <w:numPr>
                <w:ilvl w:val="0"/>
                <w:numId w:val="5"/>
              </w:numPr>
              <w:spacing w:after="200" w:line="259" w:lineRule="auto"/>
              <w:rPr>
                <w:rFonts w:ascii="Calibri" w:eastAsia="Calibri" w:hAnsi="Calibri" w:cs="Calibri"/>
                <w:sz w:val="20"/>
                <w:szCs w:val="20"/>
              </w:rPr>
            </w:pPr>
            <w:r w:rsidRPr="008B0F5A">
              <w:rPr>
                <w:rFonts w:ascii="Calibri" w:eastAsia="Calibri" w:hAnsi="Calibri" w:cs="Calibri"/>
                <w:sz w:val="20"/>
                <w:szCs w:val="20"/>
              </w:rPr>
              <w:t xml:space="preserve">Outcome statement includes specific assignments or activities. WHY PROBLEMATIC: It is okay to suggest a </w:t>
            </w:r>
            <w:r w:rsidRPr="008B0F5A">
              <w:rPr>
                <w:rFonts w:ascii="Calibri" w:eastAsia="Calibri" w:hAnsi="Calibri" w:cs="Calibri"/>
                <w:i/>
                <w:sz w:val="20"/>
                <w:szCs w:val="20"/>
              </w:rPr>
              <w:t>broad type</w:t>
            </w:r>
            <w:r w:rsidRPr="008B0F5A">
              <w:rPr>
                <w:rFonts w:ascii="Calibri" w:eastAsia="Calibri" w:hAnsi="Calibri" w:cs="Calibri"/>
                <w:sz w:val="20"/>
                <w:szCs w:val="20"/>
              </w:rPr>
              <w:t xml:space="preserve"> of demonstration of a skill. However, the focus should be the transferable knowledge and skills rather than specific activities/assignments.</w:t>
            </w:r>
          </w:p>
        </w:tc>
        <w:tc>
          <w:tcPr>
            <w:tcW w:w="4870" w:type="dxa"/>
          </w:tcPr>
          <w:p w:rsidR="00FF44B4" w:rsidRPr="008B0F5A" w:rsidRDefault="005538E9">
            <w:pPr>
              <w:spacing w:line="259" w:lineRule="auto"/>
              <w:rPr>
                <w:rFonts w:ascii="Calibri" w:eastAsia="Calibri" w:hAnsi="Calibri" w:cs="Calibri"/>
                <w:sz w:val="20"/>
                <w:szCs w:val="20"/>
              </w:rPr>
            </w:pPr>
            <w:r w:rsidRPr="008B0F5A">
              <w:rPr>
                <w:rFonts w:ascii="Calibri" w:eastAsia="Calibri" w:hAnsi="Calibri" w:cs="Calibri"/>
                <w:sz w:val="20"/>
                <w:szCs w:val="20"/>
              </w:rPr>
              <w:t>Less measurable:</w:t>
            </w:r>
          </w:p>
          <w:p w:rsidR="00FF44B4" w:rsidRPr="008B0F5A" w:rsidRDefault="005538E9">
            <w:pPr>
              <w:spacing w:line="276" w:lineRule="auto"/>
              <w:rPr>
                <w:rFonts w:ascii="Calibri" w:eastAsia="Calibri" w:hAnsi="Calibri" w:cs="Calibri"/>
                <w:sz w:val="20"/>
                <w:szCs w:val="20"/>
              </w:rPr>
            </w:pPr>
            <w:r w:rsidRPr="008B0F5A">
              <w:rPr>
                <w:rFonts w:ascii="Calibri" w:eastAsia="Calibri" w:hAnsi="Calibri" w:cs="Calibri"/>
                <w:sz w:val="20"/>
                <w:szCs w:val="20"/>
              </w:rPr>
              <w:t>Students will think critically.</w:t>
            </w:r>
          </w:p>
          <w:p w:rsidR="00FF44B4" w:rsidRPr="008B0F5A" w:rsidRDefault="00FF44B4">
            <w:pPr>
              <w:spacing w:line="259" w:lineRule="auto"/>
              <w:rPr>
                <w:rFonts w:ascii="Calibri" w:eastAsia="Calibri" w:hAnsi="Calibri" w:cs="Calibri"/>
                <w:sz w:val="20"/>
                <w:szCs w:val="20"/>
              </w:rPr>
            </w:pPr>
          </w:p>
          <w:p w:rsidR="00FF44B4" w:rsidRPr="008B0F5A" w:rsidRDefault="005538E9">
            <w:pPr>
              <w:spacing w:line="259" w:lineRule="auto"/>
              <w:rPr>
                <w:rFonts w:ascii="Calibri" w:eastAsia="Calibri" w:hAnsi="Calibri" w:cs="Calibri"/>
                <w:sz w:val="20"/>
                <w:szCs w:val="20"/>
              </w:rPr>
            </w:pPr>
            <w:r w:rsidRPr="008B0F5A">
              <w:rPr>
                <w:rFonts w:ascii="Calibri" w:eastAsia="Calibri" w:hAnsi="Calibri" w:cs="Calibri"/>
                <w:sz w:val="20"/>
                <w:szCs w:val="20"/>
              </w:rPr>
              <w:t>More measurable:</w:t>
            </w:r>
          </w:p>
          <w:p w:rsidR="00FF44B4" w:rsidRPr="008B0F5A" w:rsidRDefault="005538E9">
            <w:pPr>
              <w:spacing w:line="276" w:lineRule="auto"/>
              <w:rPr>
                <w:rFonts w:ascii="Calibri" w:eastAsia="Calibri" w:hAnsi="Calibri" w:cs="Calibri"/>
                <w:sz w:val="20"/>
                <w:szCs w:val="20"/>
              </w:rPr>
            </w:pPr>
            <w:r w:rsidRPr="008B0F5A">
              <w:rPr>
                <w:rFonts w:ascii="Calibri" w:eastAsia="Calibri" w:hAnsi="Calibri" w:cs="Calibri"/>
                <w:sz w:val="20"/>
                <w:szCs w:val="20"/>
              </w:rPr>
              <w:t>Students will evaluate sources of information for relevance and authority.</w:t>
            </w:r>
          </w:p>
          <w:p w:rsidR="00FF44B4" w:rsidRPr="008B0F5A" w:rsidRDefault="00FF44B4">
            <w:pPr>
              <w:spacing w:line="276" w:lineRule="auto"/>
              <w:rPr>
                <w:rFonts w:ascii="Calibri" w:eastAsia="Calibri" w:hAnsi="Calibri" w:cs="Calibri"/>
                <w:sz w:val="20"/>
                <w:szCs w:val="20"/>
              </w:rPr>
            </w:pPr>
          </w:p>
          <w:p w:rsidR="00FF44B4" w:rsidRPr="008B0F5A" w:rsidRDefault="00FF44B4">
            <w:pPr>
              <w:spacing w:line="259" w:lineRule="auto"/>
              <w:rPr>
                <w:rFonts w:ascii="Calibri" w:eastAsia="Calibri" w:hAnsi="Calibri" w:cs="Calibri"/>
                <w:sz w:val="20"/>
                <w:szCs w:val="20"/>
              </w:rPr>
            </w:pPr>
          </w:p>
          <w:p w:rsidR="00FF44B4" w:rsidRPr="008B0F5A" w:rsidRDefault="005538E9">
            <w:pPr>
              <w:spacing w:line="259" w:lineRule="auto"/>
              <w:rPr>
                <w:rFonts w:ascii="Calibri" w:eastAsia="Calibri" w:hAnsi="Calibri" w:cs="Calibri"/>
                <w:sz w:val="20"/>
                <w:szCs w:val="20"/>
              </w:rPr>
            </w:pPr>
            <w:r w:rsidRPr="008B0F5A">
              <w:rPr>
                <w:rFonts w:ascii="Calibri" w:eastAsia="Calibri" w:hAnsi="Calibri" w:cs="Calibri"/>
                <w:sz w:val="20"/>
                <w:szCs w:val="20"/>
              </w:rPr>
              <w:t>Less measurable:</w:t>
            </w:r>
          </w:p>
          <w:p w:rsidR="00FF44B4" w:rsidRPr="008B0F5A" w:rsidRDefault="005538E9">
            <w:pPr>
              <w:spacing w:line="259" w:lineRule="auto"/>
              <w:rPr>
                <w:rFonts w:ascii="Calibri" w:eastAsia="Calibri" w:hAnsi="Calibri" w:cs="Calibri"/>
                <w:sz w:val="20"/>
                <w:szCs w:val="20"/>
              </w:rPr>
            </w:pPr>
            <w:r w:rsidRPr="008B0F5A">
              <w:rPr>
                <w:rFonts w:ascii="Calibri" w:eastAsia="Calibri" w:hAnsi="Calibri" w:cs="Calibri"/>
                <w:sz w:val="20"/>
                <w:szCs w:val="20"/>
              </w:rPr>
              <w:t>Understand appropriate instructional approaches to different situations.</w:t>
            </w:r>
          </w:p>
          <w:p w:rsidR="00FF44B4" w:rsidRPr="008B0F5A" w:rsidRDefault="00FF44B4">
            <w:pPr>
              <w:spacing w:line="259" w:lineRule="auto"/>
              <w:rPr>
                <w:rFonts w:ascii="Calibri" w:eastAsia="Calibri" w:hAnsi="Calibri" w:cs="Calibri"/>
                <w:sz w:val="20"/>
                <w:szCs w:val="20"/>
              </w:rPr>
            </w:pPr>
          </w:p>
          <w:p w:rsidR="00FF44B4" w:rsidRPr="008B0F5A" w:rsidRDefault="005538E9">
            <w:pPr>
              <w:spacing w:line="259" w:lineRule="auto"/>
              <w:rPr>
                <w:rFonts w:ascii="Calibri" w:eastAsia="Calibri" w:hAnsi="Calibri" w:cs="Calibri"/>
                <w:sz w:val="20"/>
                <w:szCs w:val="20"/>
              </w:rPr>
            </w:pPr>
            <w:r w:rsidRPr="008B0F5A">
              <w:rPr>
                <w:rFonts w:ascii="Calibri" w:eastAsia="Calibri" w:hAnsi="Calibri" w:cs="Calibri"/>
                <w:sz w:val="20"/>
                <w:szCs w:val="20"/>
              </w:rPr>
              <w:t>Mo</w:t>
            </w:r>
            <w:r w:rsidR="008B0F5A" w:rsidRPr="008B0F5A">
              <w:rPr>
                <w:rFonts w:ascii="Calibri" w:eastAsia="Calibri" w:hAnsi="Calibri" w:cs="Calibri"/>
                <w:sz w:val="20"/>
                <w:szCs w:val="20"/>
              </w:rPr>
              <w:t>r</w:t>
            </w:r>
            <w:r w:rsidRPr="008B0F5A">
              <w:rPr>
                <w:rFonts w:ascii="Calibri" w:eastAsia="Calibri" w:hAnsi="Calibri" w:cs="Calibri"/>
                <w:sz w:val="20"/>
                <w:szCs w:val="20"/>
              </w:rPr>
              <w:t>e measurable:</w:t>
            </w:r>
          </w:p>
          <w:p w:rsidR="00FF44B4" w:rsidRPr="008B0F5A" w:rsidRDefault="005538E9">
            <w:pPr>
              <w:spacing w:after="160" w:line="259" w:lineRule="auto"/>
              <w:rPr>
                <w:rFonts w:ascii="Calibri" w:eastAsia="Calibri" w:hAnsi="Calibri" w:cs="Calibri"/>
                <w:sz w:val="20"/>
                <w:szCs w:val="20"/>
              </w:rPr>
            </w:pPr>
            <w:r w:rsidRPr="008B0F5A">
              <w:rPr>
                <w:rFonts w:ascii="Calibri" w:eastAsia="Calibri" w:hAnsi="Calibri" w:cs="Calibri"/>
                <w:sz w:val="20"/>
                <w:szCs w:val="20"/>
              </w:rPr>
              <w:t>Plan a unit of instruction for a particular teaching situation.</w:t>
            </w:r>
          </w:p>
          <w:p w:rsidR="00FF44B4" w:rsidRPr="008B0F5A" w:rsidRDefault="00FF44B4">
            <w:pPr>
              <w:spacing w:line="259" w:lineRule="auto"/>
              <w:rPr>
                <w:rFonts w:ascii="Calibri" w:eastAsia="Calibri" w:hAnsi="Calibri" w:cs="Calibri"/>
                <w:sz w:val="20"/>
                <w:szCs w:val="20"/>
              </w:rPr>
            </w:pPr>
          </w:p>
          <w:p w:rsidR="00FF44B4" w:rsidRPr="008B0F5A" w:rsidRDefault="005538E9">
            <w:pPr>
              <w:spacing w:line="259" w:lineRule="auto"/>
              <w:rPr>
                <w:rFonts w:ascii="Calibri" w:eastAsia="Calibri" w:hAnsi="Calibri" w:cs="Calibri"/>
                <w:color w:val="212529"/>
                <w:sz w:val="20"/>
                <w:szCs w:val="20"/>
                <w:highlight w:val="white"/>
              </w:rPr>
            </w:pPr>
            <w:r w:rsidRPr="008B0F5A">
              <w:rPr>
                <w:rFonts w:ascii="Calibri" w:eastAsia="Calibri" w:hAnsi="Calibri" w:cs="Calibri"/>
                <w:color w:val="212529"/>
                <w:sz w:val="20"/>
                <w:szCs w:val="20"/>
                <w:highlight w:val="white"/>
              </w:rPr>
              <w:t>Less measurable:</w:t>
            </w:r>
          </w:p>
          <w:p w:rsidR="00FF44B4" w:rsidRPr="008B0F5A" w:rsidRDefault="005538E9">
            <w:pPr>
              <w:spacing w:after="160" w:line="259" w:lineRule="auto"/>
              <w:rPr>
                <w:rFonts w:ascii="Calibri" w:eastAsia="Calibri" w:hAnsi="Calibri" w:cs="Calibri"/>
                <w:color w:val="212529"/>
                <w:sz w:val="20"/>
                <w:szCs w:val="20"/>
                <w:highlight w:val="white"/>
              </w:rPr>
            </w:pPr>
            <w:r w:rsidRPr="008B0F5A">
              <w:rPr>
                <w:rFonts w:ascii="Calibri" w:eastAsia="Calibri" w:hAnsi="Calibri" w:cs="Calibri"/>
                <w:color w:val="212529"/>
                <w:sz w:val="20"/>
                <w:szCs w:val="20"/>
                <w:highlight w:val="white"/>
              </w:rPr>
              <w:t>Prepare classical and modern desserts including fillings, icings, custards, mousses, and glazes.</w:t>
            </w:r>
          </w:p>
          <w:p w:rsidR="00FF44B4" w:rsidRPr="008B0F5A" w:rsidRDefault="005538E9">
            <w:pPr>
              <w:spacing w:line="259" w:lineRule="auto"/>
              <w:rPr>
                <w:rFonts w:ascii="Calibri" w:eastAsia="Calibri" w:hAnsi="Calibri" w:cs="Calibri"/>
                <w:color w:val="212529"/>
                <w:sz w:val="20"/>
                <w:szCs w:val="20"/>
                <w:highlight w:val="white"/>
              </w:rPr>
            </w:pPr>
            <w:r w:rsidRPr="008B0F5A">
              <w:rPr>
                <w:rFonts w:ascii="Calibri" w:eastAsia="Calibri" w:hAnsi="Calibri" w:cs="Calibri"/>
                <w:color w:val="212529"/>
                <w:sz w:val="20"/>
                <w:szCs w:val="20"/>
                <w:highlight w:val="white"/>
              </w:rPr>
              <w:t>More measurable:</w:t>
            </w:r>
          </w:p>
          <w:p w:rsidR="00FF44B4" w:rsidRPr="008B0F5A" w:rsidRDefault="005538E9">
            <w:pPr>
              <w:spacing w:after="160" w:line="259" w:lineRule="auto"/>
              <w:rPr>
                <w:rFonts w:ascii="Calibri" w:eastAsia="Calibri" w:hAnsi="Calibri" w:cs="Calibri"/>
                <w:color w:val="212529"/>
                <w:sz w:val="20"/>
                <w:szCs w:val="20"/>
                <w:highlight w:val="white"/>
              </w:rPr>
            </w:pPr>
            <w:r w:rsidRPr="008B0F5A">
              <w:rPr>
                <w:rFonts w:ascii="Calibri" w:eastAsia="Calibri" w:hAnsi="Calibri" w:cs="Calibri"/>
                <w:color w:val="212529"/>
                <w:sz w:val="20"/>
                <w:szCs w:val="20"/>
                <w:highlight w:val="white"/>
              </w:rPr>
              <w:t>Apply creaming and foaming methods to prepare desserts.</w:t>
            </w:r>
          </w:p>
        </w:tc>
      </w:tr>
      <w:tr w:rsidR="00FF44B4" w:rsidRPr="008B0F5A">
        <w:tc>
          <w:tcPr>
            <w:tcW w:w="3363" w:type="dxa"/>
          </w:tcPr>
          <w:p w:rsidR="00FF44B4" w:rsidRPr="008B0F5A" w:rsidRDefault="005538E9">
            <w:pPr>
              <w:rPr>
                <w:rFonts w:ascii="Calibri" w:eastAsia="Calibri" w:hAnsi="Calibri" w:cs="Calibri"/>
                <w:b/>
                <w:sz w:val="20"/>
                <w:szCs w:val="20"/>
              </w:rPr>
            </w:pPr>
            <w:r w:rsidRPr="008B0F5A">
              <w:rPr>
                <w:rFonts w:ascii="Calibri" w:eastAsia="Calibri" w:hAnsi="Calibri" w:cs="Calibri"/>
                <w:b/>
                <w:sz w:val="20"/>
                <w:szCs w:val="20"/>
              </w:rPr>
              <w:lastRenderedPageBreak/>
              <w:t xml:space="preserve">3. Inclusive </w:t>
            </w:r>
          </w:p>
          <w:p w:rsidR="00FF44B4" w:rsidRPr="008B0F5A" w:rsidRDefault="005538E9">
            <w:pPr>
              <w:numPr>
                <w:ilvl w:val="0"/>
                <w:numId w:val="6"/>
              </w:numPr>
              <w:rPr>
                <w:rFonts w:ascii="Calibri" w:eastAsia="Calibri" w:hAnsi="Calibri" w:cs="Calibri"/>
                <w:sz w:val="20"/>
                <w:szCs w:val="20"/>
              </w:rPr>
            </w:pPr>
            <w:r w:rsidRPr="008B0F5A">
              <w:rPr>
                <w:rFonts w:ascii="Calibri" w:eastAsia="Calibri" w:hAnsi="Calibri" w:cs="Calibri"/>
                <w:sz w:val="20"/>
                <w:szCs w:val="20"/>
              </w:rPr>
              <w:t>Does not present any unnecessary barriers.</w:t>
            </w:r>
          </w:p>
          <w:p w:rsidR="00FF44B4" w:rsidRPr="008B0F5A" w:rsidRDefault="005538E9">
            <w:pPr>
              <w:numPr>
                <w:ilvl w:val="0"/>
                <w:numId w:val="6"/>
              </w:numPr>
              <w:rPr>
                <w:rFonts w:ascii="Calibri" w:eastAsia="Calibri" w:hAnsi="Calibri" w:cs="Calibri"/>
                <w:sz w:val="20"/>
                <w:szCs w:val="20"/>
              </w:rPr>
            </w:pPr>
            <w:r w:rsidRPr="008B0F5A">
              <w:rPr>
                <w:rFonts w:ascii="Calibri" w:eastAsia="Calibri" w:hAnsi="Calibri" w:cs="Calibri"/>
                <w:sz w:val="20"/>
                <w:szCs w:val="20"/>
              </w:rPr>
              <w:t>Does not assume prerequisite knowledge or experiences that aren’t integral.</w:t>
            </w:r>
          </w:p>
          <w:p w:rsidR="00FF44B4" w:rsidRPr="008B0F5A" w:rsidRDefault="005538E9">
            <w:pPr>
              <w:numPr>
                <w:ilvl w:val="0"/>
                <w:numId w:val="6"/>
              </w:numPr>
              <w:rPr>
                <w:rFonts w:ascii="Calibri" w:eastAsia="Calibri" w:hAnsi="Calibri" w:cs="Calibri"/>
                <w:sz w:val="20"/>
                <w:szCs w:val="20"/>
              </w:rPr>
            </w:pPr>
            <w:r w:rsidRPr="008B0F5A">
              <w:rPr>
                <w:rFonts w:ascii="Calibri" w:eastAsia="Calibri" w:hAnsi="Calibri" w:cs="Calibri"/>
                <w:sz w:val="20"/>
                <w:szCs w:val="20"/>
              </w:rPr>
              <w:t>Represents and recognizes student diversity.</w:t>
            </w:r>
          </w:p>
        </w:tc>
        <w:tc>
          <w:tcPr>
            <w:tcW w:w="6166" w:type="dxa"/>
          </w:tcPr>
          <w:p w:rsidR="00FF44B4" w:rsidRPr="008B0F5A" w:rsidRDefault="005538E9">
            <w:pPr>
              <w:rPr>
                <w:rFonts w:ascii="Calibri" w:eastAsia="Calibri" w:hAnsi="Calibri" w:cs="Calibri"/>
                <w:sz w:val="20"/>
                <w:szCs w:val="20"/>
              </w:rPr>
            </w:pPr>
            <w:r w:rsidRPr="008B0F5A">
              <w:rPr>
                <w:rFonts w:ascii="Calibri" w:eastAsia="Calibri" w:hAnsi="Calibri" w:cs="Calibri"/>
                <w:sz w:val="20"/>
                <w:szCs w:val="20"/>
              </w:rPr>
              <w:t>Common problems:</w:t>
            </w:r>
          </w:p>
          <w:p w:rsidR="00FF44B4" w:rsidRPr="008B0F5A" w:rsidRDefault="005538E9">
            <w:pPr>
              <w:numPr>
                <w:ilvl w:val="0"/>
                <w:numId w:val="6"/>
              </w:numPr>
              <w:rPr>
                <w:rFonts w:ascii="Calibri" w:eastAsia="Calibri" w:hAnsi="Calibri" w:cs="Calibri"/>
                <w:sz w:val="20"/>
                <w:szCs w:val="20"/>
              </w:rPr>
            </w:pPr>
            <w:r w:rsidRPr="008B0F5A">
              <w:rPr>
                <w:rFonts w:ascii="Calibri" w:eastAsia="Calibri" w:hAnsi="Calibri" w:cs="Calibri"/>
                <w:sz w:val="20"/>
                <w:szCs w:val="20"/>
              </w:rPr>
              <w:t>Outcome includes a particular modality or means of demonstration that is not necessary and intentional.  WHY PROBLEMATIC: If learning is tied to a particular modality or means of demonstration without good reason this can be exclusive of some students. This can also limit flexibility for instructors. (This problem might also show up in “Measurable” above.)</w:t>
            </w:r>
          </w:p>
          <w:p w:rsidR="00FF44B4" w:rsidRPr="008B0F5A" w:rsidRDefault="005538E9">
            <w:pPr>
              <w:numPr>
                <w:ilvl w:val="0"/>
                <w:numId w:val="6"/>
              </w:numPr>
              <w:rPr>
                <w:rFonts w:ascii="Calibri" w:eastAsia="Calibri" w:hAnsi="Calibri" w:cs="Calibri"/>
                <w:sz w:val="20"/>
                <w:szCs w:val="20"/>
              </w:rPr>
            </w:pPr>
            <w:r w:rsidRPr="008B0F5A">
              <w:rPr>
                <w:rFonts w:ascii="Calibri" w:eastAsia="Calibri" w:hAnsi="Calibri" w:cs="Calibri"/>
                <w:sz w:val="20"/>
                <w:szCs w:val="20"/>
              </w:rPr>
              <w:t>Outcome assumes knowledge or experiences that privilege certain students, such as implicit rather than explicit definitions of “professionalism.”</w:t>
            </w:r>
          </w:p>
          <w:p w:rsidR="00FF44B4" w:rsidRPr="008B0F5A" w:rsidRDefault="00FF44B4">
            <w:pPr>
              <w:rPr>
                <w:rFonts w:ascii="Calibri" w:eastAsia="Calibri" w:hAnsi="Calibri" w:cs="Calibri"/>
                <w:b/>
                <w:sz w:val="20"/>
                <w:szCs w:val="20"/>
              </w:rPr>
            </w:pPr>
          </w:p>
        </w:tc>
        <w:tc>
          <w:tcPr>
            <w:tcW w:w="4870" w:type="dxa"/>
          </w:tcPr>
          <w:p w:rsidR="00FF44B4" w:rsidRPr="008B0F5A" w:rsidRDefault="00FF44B4">
            <w:pPr>
              <w:rPr>
                <w:rFonts w:ascii="Calibri" w:eastAsia="Calibri" w:hAnsi="Calibri" w:cs="Calibri"/>
                <w:sz w:val="20"/>
                <w:szCs w:val="20"/>
              </w:rPr>
            </w:pPr>
          </w:p>
          <w:p w:rsidR="00FF44B4" w:rsidRPr="008B0F5A" w:rsidRDefault="005538E9">
            <w:pPr>
              <w:rPr>
                <w:rFonts w:ascii="Calibri" w:eastAsia="Calibri" w:hAnsi="Calibri" w:cs="Calibri"/>
                <w:sz w:val="20"/>
                <w:szCs w:val="20"/>
              </w:rPr>
            </w:pPr>
            <w:r w:rsidRPr="008B0F5A">
              <w:rPr>
                <w:rFonts w:ascii="Calibri" w:eastAsia="Calibri" w:hAnsi="Calibri" w:cs="Calibri"/>
                <w:sz w:val="20"/>
                <w:szCs w:val="20"/>
              </w:rPr>
              <w:t xml:space="preserve">Less inclusive: </w:t>
            </w:r>
          </w:p>
          <w:p w:rsidR="00FF44B4" w:rsidRPr="008B0F5A" w:rsidRDefault="005538E9">
            <w:pPr>
              <w:rPr>
                <w:rFonts w:ascii="Calibri" w:eastAsia="Calibri" w:hAnsi="Calibri" w:cs="Calibri"/>
                <w:sz w:val="20"/>
                <w:szCs w:val="20"/>
              </w:rPr>
            </w:pPr>
            <w:r w:rsidRPr="008B0F5A">
              <w:rPr>
                <w:rFonts w:ascii="Calibri" w:eastAsia="Calibri" w:hAnsi="Calibri" w:cs="Calibri"/>
                <w:sz w:val="20"/>
                <w:szCs w:val="20"/>
              </w:rPr>
              <w:t>Students will trace their own family migration to the United States by exploring family primary documents</w:t>
            </w:r>
          </w:p>
          <w:p w:rsidR="00FF44B4" w:rsidRPr="008B0F5A" w:rsidRDefault="00FF44B4">
            <w:pPr>
              <w:rPr>
                <w:rFonts w:ascii="Calibri" w:eastAsia="Calibri" w:hAnsi="Calibri" w:cs="Calibri"/>
                <w:sz w:val="20"/>
                <w:szCs w:val="20"/>
              </w:rPr>
            </w:pPr>
          </w:p>
          <w:p w:rsidR="00FF44B4" w:rsidRPr="008B0F5A" w:rsidRDefault="005538E9">
            <w:pPr>
              <w:rPr>
                <w:rFonts w:ascii="Calibri" w:eastAsia="Calibri" w:hAnsi="Calibri" w:cs="Calibri"/>
                <w:sz w:val="20"/>
                <w:szCs w:val="20"/>
              </w:rPr>
            </w:pPr>
            <w:r w:rsidRPr="008B0F5A">
              <w:rPr>
                <w:rFonts w:ascii="Calibri" w:eastAsia="Calibri" w:hAnsi="Calibri" w:cs="Calibri"/>
                <w:sz w:val="20"/>
                <w:szCs w:val="20"/>
              </w:rPr>
              <w:t>More inclusive:</w:t>
            </w:r>
          </w:p>
          <w:p w:rsidR="00FF44B4" w:rsidRPr="008B0F5A" w:rsidRDefault="005538E9">
            <w:pPr>
              <w:rPr>
                <w:rFonts w:ascii="Calibri" w:eastAsia="Calibri" w:hAnsi="Calibri" w:cs="Calibri"/>
                <w:sz w:val="20"/>
                <w:szCs w:val="20"/>
              </w:rPr>
            </w:pPr>
            <w:r w:rsidRPr="008B0F5A">
              <w:rPr>
                <w:rFonts w:ascii="Calibri" w:eastAsia="Calibri" w:hAnsi="Calibri" w:cs="Calibri"/>
                <w:sz w:val="20"/>
                <w:szCs w:val="20"/>
              </w:rPr>
              <w:t>Student will trace patterns of migration in the United States through primary documents</w:t>
            </w:r>
          </w:p>
          <w:p w:rsidR="00FF44B4" w:rsidRPr="008B0F5A" w:rsidRDefault="00FF44B4">
            <w:pPr>
              <w:rPr>
                <w:rFonts w:ascii="Calibri" w:eastAsia="Calibri" w:hAnsi="Calibri" w:cs="Calibri"/>
                <w:sz w:val="20"/>
                <w:szCs w:val="20"/>
              </w:rPr>
            </w:pPr>
          </w:p>
          <w:p w:rsidR="00FF44B4" w:rsidRPr="008B0F5A" w:rsidRDefault="005538E9">
            <w:pPr>
              <w:rPr>
                <w:rFonts w:ascii="Calibri" w:eastAsia="Calibri" w:hAnsi="Calibri" w:cs="Calibri"/>
                <w:sz w:val="20"/>
                <w:szCs w:val="20"/>
              </w:rPr>
            </w:pPr>
            <w:r w:rsidRPr="008B0F5A">
              <w:rPr>
                <w:rFonts w:ascii="Calibri" w:eastAsia="Calibri" w:hAnsi="Calibri" w:cs="Calibri"/>
                <w:sz w:val="20"/>
                <w:szCs w:val="20"/>
              </w:rPr>
              <w:t>Less inclusive:</w:t>
            </w:r>
          </w:p>
          <w:p w:rsidR="00FF44B4" w:rsidRPr="008B0F5A" w:rsidRDefault="005538E9">
            <w:pPr>
              <w:spacing w:line="252" w:lineRule="auto"/>
              <w:rPr>
                <w:rFonts w:ascii="Calibri" w:eastAsia="Calibri" w:hAnsi="Calibri" w:cs="Calibri"/>
                <w:sz w:val="20"/>
                <w:szCs w:val="20"/>
              </w:rPr>
            </w:pPr>
            <w:r w:rsidRPr="008B0F5A">
              <w:rPr>
                <w:rFonts w:ascii="Calibri" w:eastAsia="Calibri" w:hAnsi="Calibri" w:cs="Calibri"/>
                <w:sz w:val="20"/>
                <w:szCs w:val="20"/>
              </w:rPr>
              <w:t>Students will maintain professionalism in their laboratory work</w:t>
            </w:r>
          </w:p>
          <w:p w:rsidR="00FF44B4" w:rsidRPr="008B0F5A" w:rsidRDefault="005538E9">
            <w:pPr>
              <w:spacing w:before="240" w:line="252" w:lineRule="auto"/>
              <w:rPr>
                <w:rFonts w:ascii="Calibri" w:eastAsia="Calibri" w:hAnsi="Calibri" w:cs="Calibri"/>
                <w:sz w:val="20"/>
                <w:szCs w:val="20"/>
              </w:rPr>
            </w:pPr>
            <w:r w:rsidRPr="008B0F5A">
              <w:rPr>
                <w:rFonts w:ascii="Calibri" w:eastAsia="Calibri" w:hAnsi="Calibri" w:cs="Calibri"/>
                <w:sz w:val="20"/>
                <w:szCs w:val="20"/>
              </w:rPr>
              <w:t>More inclusive:</w:t>
            </w:r>
          </w:p>
          <w:p w:rsidR="00FF44B4" w:rsidRPr="008B0F5A" w:rsidRDefault="005538E9">
            <w:pPr>
              <w:spacing w:line="252" w:lineRule="auto"/>
              <w:rPr>
                <w:rFonts w:ascii="Calibri" w:eastAsia="Calibri" w:hAnsi="Calibri" w:cs="Calibri"/>
                <w:sz w:val="20"/>
                <w:szCs w:val="20"/>
              </w:rPr>
            </w:pPr>
            <w:r w:rsidRPr="008B0F5A">
              <w:rPr>
                <w:rFonts w:ascii="Calibri" w:eastAsia="Calibri" w:hAnsi="Calibri" w:cs="Calibri"/>
                <w:sz w:val="20"/>
                <w:szCs w:val="20"/>
              </w:rPr>
              <w:t>Students will adhere to the American Chemical Society Academic Professional Guidelines by following and enforcing safe laboratory practices; maintaining high standards of honesty, integrity, and ethics; treating lab partners with respect; and documenting work in a laboratory notebook</w:t>
            </w:r>
          </w:p>
          <w:p w:rsidR="00FF44B4" w:rsidRPr="008B0F5A" w:rsidRDefault="00FF44B4">
            <w:pPr>
              <w:rPr>
                <w:rFonts w:ascii="Calibri" w:eastAsia="Calibri" w:hAnsi="Calibri" w:cs="Calibri"/>
                <w:sz w:val="20"/>
                <w:szCs w:val="20"/>
              </w:rPr>
            </w:pPr>
          </w:p>
        </w:tc>
      </w:tr>
      <w:tr w:rsidR="00FF44B4" w:rsidRPr="008B0F5A">
        <w:tc>
          <w:tcPr>
            <w:tcW w:w="3363" w:type="dxa"/>
          </w:tcPr>
          <w:p w:rsidR="00FF44B4" w:rsidRPr="008B0F5A" w:rsidRDefault="005538E9">
            <w:pPr>
              <w:rPr>
                <w:rFonts w:ascii="Calibri" w:eastAsia="Calibri" w:hAnsi="Calibri" w:cs="Calibri"/>
                <w:b/>
                <w:sz w:val="20"/>
                <w:szCs w:val="20"/>
              </w:rPr>
            </w:pPr>
            <w:r w:rsidRPr="008B0F5A">
              <w:rPr>
                <w:rFonts w:ascii="Calibri" w:eastAsia="Calibri" w:hAnsi="Calibri" w:cs="Calibri"/>
                <w:b/>
                <w:sz w:val="20"/>
                <w:szCs w:val="20"/>
              </w:rPr>
              <w:t>4. Higher-order</w:t>
            </w:r>
          </w:p>
          <w:p w:rsidR="00FF44B4" w:rsidRPr="008B0F5A" w:rsidRDefault="005538E9">
            <w:pPr>
              <w:numPr>
                <w:ilvl w:val="0"/>
                <w:numId w:val="1"/>
              </w:numPr>
              <w:rPr>
                <w:rFonts w:ascii="Calibri" w:eastAsia="Calibri" w:hAnsi="Calibri" w:cs="Calibri"/>
                <w:sz w:val="20"/>
                <w:szCs w:val="20"/>
              </w:rPr>
            </w:pPr>
            <w:r w:rsidRPr="008B0F5A">
              <w:rPr>
                <w:rFonts w:ascii="Calibri" w:eastAsia="Calibri" w:hAnsi="Calibri" w:cs="Calibri"/>
                <w:sz w:val="20"/>
                <w:szCs w:val="20"/>
              </w:rPr>
              <w:t>Wherever possible and appropriate, learning outcomes focus on higher-order skills.</w:t>
            </w:r>
          </w:p>
        </w:tc>
        <w:tc>
          <w:tcPr>
            <w:tcW w:w="6166" w:type="dxa"/>
          </w:tcPr>
          <w:p w:rsidR="00FF44B4" w:rsidRPr="008B0F5A" w:rsidRDefault="005538E9">
            <w:pPr>
              <w:rPr>
                <w:rFonts w:ascii="Calibri" w:eastAsia="Calibri" w:hAnsi="Calibri" w:cs="Calibri"/>
                <w:sz w:val="20"/>
                <w:szCs w:val="20"/>
              </w:rPr>
            </w:pPr>
            <w:r w:rsidRPr="008B0F5A">
              <w:rPr>
                <w:rFonts w:ascii="Calibri" w:eastAsia="Calibri" w:hAnsi="Calibri" w:cs="Calibri"/>
                <w:sz w:val="20"/>
                <w:szCs w:val="20"/>
              </w:rPr>
              <w:t>NOTES:</w:t>
            </w:r>
          </w:p>
          <w:p w:rsidR="00FF44B4" w:rsidRPr="008B0F5A" w:rsidRDefault="005538E9">
            <w:pPr>
              <w:numPr>
                <w:ilvl w:val="0"/>
                <w:numId w:val="3"/>
              </w:numPr>
              <w:rPr>
                <w:rFonts w:ascii="Calibri" w:eastAsia="Calibri" w:hAnsi="Calibri" w:cs="Calibri"/>
                <w:sz w:val="20"/>
                <w:szCs w:val="20"/>
              </w:rPr>
            </w:pPr>
            <w:r w:rsidRPr="008B0F5A">
              <w:rPr>
                <w:rFonts w:ascii="Calibri" w:eastAsia="Calibri" w:hAnsi="Calibri" w:cs="Calibri"/>
                <w:sz w:val="20"/>
                <w:szCs w:val="20"/>
              </w:rPr>
              <w:t xml:space="preserve">Students can learn lower-order skills such as recognition and recall on the way to learning higher-order skills such as apply and evaluate.  </w:t>
            </w:r>
          </w:p>
          <w:p w:rsidR="00FF44B4" w:rsidRPr="008B0F5A" w:rsidRDefault="005538E9">
            <w:pPr>
              <w:numPr>
                <w:ilvl w:val="0"/>
                <w:numId w:val="3"/>
              </w:numPr>
              <w:rPr>
                <w:rFonts w:ascii="Calibri" w:eastAsia="Calibri" w:hAnsi="Calibri" w:cs="Calibri"/>
                <w:sz w:val="20"/>
                <w:szCs w:val="20"/>
              </w:rPr>
            </w:pPr>
            <w:r w:rsidRPr="008B0F5A">
              <w:rPr>
                <w:rFonts w:ascii="Calibri" w:eastAsia="Calibri" w:hAnsi="Calibri" w:cs="Calibri"/>
                <w:sz w:val="20"/>
                <w:szCs w:val="20"/>
              </w:rPr>
              <w:t>Introductory courses don’t have to be limited to low Bloom’s verbs.</w:t>
            </w:r>
          </w:p>
          <w:p w:rsidR="00FF44B4" w:rsidRPr="008B0F5A" w:rsidRDefault="005538E9">
            <w:pPr>
              <w:numPr>
                <w:ilvl w:val="0"/>
                <w:numId w:val="3"/>
              </w:numPr>
              <w:rPr>
                <w:rFonts w:ascii="Calibri" w:eastAsia="Calibri" w:hAnsi="Calibri" w:cs="Calibri"/>
                <w:sz w:val="20"/>
                <w:szCs w:val="20"/>
              </w:rPr>
            </w:pPr>
            <w:r w:rsidRPr="008B0F5A">
              <w:rPr>
                <w:rFonts w:ascii="Calibri" w:eastAsia="Calibri" w:hAnsi="Calibri" w:cs="Calibri"/>
                <w:sz w:val="20"/>
                <w:szCs w:val="20"/>
              </w:rPr>
              <w:t xml:space="preserve">The best cognitive level for a course can vary based on the type of degree/certificate and the discipline or profession. </w:t>
            </w:r>
          </w:p>
          <w:p w:rsidR="00FF44B4" w:rsidRPr="008B0F5A" w:rsidRDefault="005538E9">
            <w:pPr>
              <w:numPr>
                <w:ilvl w:val="0"/>
                <w:numId w:val="1"/>
              </w:numPr>
              <w:rPr>
                <w:rFonts w:ascii="Calibri" w:eastAsia="Calibri" w:hAnsi="Calibri" w:cs="Calibri"/>
                <w:sz w:val="20"/>
                <w:szCs w:val="20"/>
              </w:rPr>
            </w:pPr>
            <w:r w:rsidRPr="008B0F5A">
              <w:rPr>
                <w:rFonts w:ascii="Calibri" w:eastAsia="Calibri" w:hAnsi="Calibri" w:cs="Calibri"/>
                <w:sz w:val="20"/>
                <w:szCs w:val="20"/>
              </w:rPr>
              <w:t xml:space="preserve">Depending on context and needs, it might be okay for a list of course outcomes to include one or </w:t>
            </w:r>
            <w:proofErr w:type="gramStart"/>
            <w:r w:rsidRPr="008B0F5A">
              <w:rPr>
                <w:rFonts w:ascii="Calibri" w:eastAsia="Calibri" w:hAnsi="Calibri" w:cs="Calibri"/>
                <w:sz w:val="20"/>
                <w:szCs w:val="20"/>
              </w:rPr>
              <w:t>more  lower</w:t>
            </w:r>
            <w:proofErr w:type="gramEnd"/>
            <w:r w:rsidRPr="008B0F5A">
              <w:rPr>
                <w:rFonts w:ascii="Calibri" w:eastAsia="Calibri" w:hAnsi="Calibri" w:cs="Calibri"/>
                <w:sz w:val="20"/>
                <w:szCs w:val="20"/>
              </w:rPr>
              <w:t>-order outcomes as long as the list overall aims at higher-order skills.</w:t>
            </w:r>
          </w:p>
          <w:p w:rsidR="00FF44B4" w:rsidRPr="008B0F5A" w:rsidRDefault="00FF44B4">
            <w:pPr>
              <w:ind w:left="720"/>
              <w:rPr>
                <w:rFonts w:ascii="Calibri" w:eastAsia="Calibri" w:hAnsi="Calibri" w:cs="Calibri"/>
                <w:sz w:val="20"/>
                <w:szCs w:val="20"/>
              </w:rPr>
            </w:pPr>
          </w:p>
        </w:tc>
        <w:tc>
          <w:tcPr>
            <w:tcW w:w="4870" w:type="dxa"/>
          </w:tcPr>
          <w:p w:rsidR="00FF44B4" w:rsidRPr="008B0F5A" w:rsidRDefault="00FF44B4">
            <w:pPr>
              <w:rPr>
                <w:rFonts w:ascii="Calibri" w:eastAsia="Calibri" w:hAnsi="Calibri" w:cs="Calibri"/>
                <w:sz w:val="20"/>
                <w:szCs w:val="20"/>
              </w:rPr>
            </w:pPr>
          </w:p>
          <w:p w:rsidR="00FF44B4" w:rsidRPr="008B0F5A" w:rsidRDefault="005538E9">
            <w:pPr>
              <w:rPr>
                <w:rFonts w:ascii="Calibri" w:eastAsia="Calibri" w:hAnsi="Calibri" w:cs="Calibri"/>
                <w:sz w:val="20"/>
                <w:szCs w:val="20"/>
              </w:rPr>
            </w:pPr>
            <w:r w:rsidRPr="008B0F5A">
              <w:rPr>
                <w:rFonts w:ascii="Calibri" w:eastAsia="Calibri" w:hAnsi="Calibri" w:cs="Calibri"/>
                <w:sz w:val="20"/>
                <w:szCs w:val="20"/>
              </w:rPr>
              <w:t>Lower order:</w:t>
            </w:r>
          </w:p>
          <w:p w:rsidR="00FF44B4" w:rsidRPr="008B0F5A" w:rsidRDefault="005538E9">
            <w:pPr>
              <w:spacing w:line="276" w:lineRule="auto"/>
              <w:rPr>
                <w:rFonts w:ascii="Calibri" w:eastAsia="Calibri" w:hAnsi="Calibri" w:cs="Calibri"/>
                <w:sz w:val="20"/>
                <w:szCs w:val="20"/>
              </w:rPr>
            </w:pPr>
            <w:r w:rsidRPr="008B0F5A">
              <w:rPr>
                <w:rFonts w:ascii="Calibri" w:eastAsia="Calibri" w:hAnsi="Calibri" w:cs="Calibri"/>
                <w:sz w:val="20"/>
                <w:szCs w:val="20"/>
              </w:rPr>
              <w:t xml:space="preserve">Students will </w:t>
            </w:r>
            <w:r w:rsidRPr="008B0F5A">
              <w:rPr>
                <w:rFonts w:ascii="Calibri" w:eastAsia="Calibri" w:hAnsi="Calibri" w:cs="Calibri"/>
                <w:b/>
                <w:sz w:val="20"/>
                <w:szCs w:val="20"/>
              </w:rPr>
              <w:t>identify</w:t>
            </w:r>
            <w:r w:rsidRPr="008B0F5A">
              <w:rPr>
                <w:rFonts w:ascii="Calibri" w:eastAsia="Calibri" w:hAnsi="Calibri" w:cs="Calibri"/>
                <w:sz w:val="20"/>
                <w:szCs w:val="20"/>
              </w:rPr>
              <w:t xml:space="preserve"> the reactants and products in all the reactions of photosynthesis.</w:t>
            </w:r>
          </w:p>
          <w:p w:rsidR="00FF44B4" w:rsidRPr="008B0F5A" w:rsidRDefault="005538E9">
            <w:pPr>
              <w:spacing w:before="240" w:line="276" w:lineRule="auto"/>
              <w:rPr>
                <w:rFonts w:ascii="Calibri" w:eastAsia="Calibri" w:hAnsi="Calibri" w:cs="Calibri"/>
                <w:sz w:val="20"/>
                <w:szCs w:val="20"/>
              </w:rPr>
            </w:pPr>
            <w:r w:rsidRPr="008B0F5A">
              <w:rPr>
                <w:rFonts w:ascii="Calibri" w:eastAsia="Calibri" w:hAnsi="Calibri" w:cs="Calibri"/>
                <w:sz w:val="20"/>
                <w:szCs w:val="20"/>
              </w:rPr>
              <w:t>Higher order:</w:t>
            </w:r>
          </w:p>
          <w:p w:rsidR="00FF44B4" w:rsidRPr="008B0F5A" w:rsidRDefault="005538E9">
            <w:pPr>
              <w:spacing w:line="276" w:lineRule="auto"/>
              <w:rPr>
                <w:rFonts w:ascii="Calibri" w:eastAsia="Calibri" w:hAnsi="Calibri" w:cs="Calibri"/>
                <w:sz w:val="20"/>
                <w:szCs w:val="20"/>
              </w:rPr>
            </w:pPr>
            <w:r w:rsidRPr="008B0F5A">
              <w:rPr>
                <w:rFonts w:ascii="Calibri" w:eastAsia="Calibri" w:hAnsi="Calibri" w:cs="Calibri"/>
                <w:sz w:val="20"/>
                <w:szCs w:val="20"/>
              </w:rPr>
              <w:t xml:space="preserve">Students will </w:t>
            </w:r>
            <w:r w:rsidRPr="008B0F5A">
              <w:rPr>
                <w:rFonts w:ascii="Calibri" w:eastAsia="Calibri" w:hAnsi="Calibri" w:cs="Calibri"/>
                <w:b/>
                <w:sz w:val="20"/>
                <w:szCs w:val="20"/>
              </w:rPr>
              <w:t>predict</w:t>
            </w:r>
            <w:r w:rsidRPr="008B0F5A">
              <w:rPr>
                <w:rFonts w:ascii="Calibri" w:eastAsia="Calibri" w:hAnsi="Calibri" w:cs="Calibri"/>
                <w:sz w:val="20"/>
                <w:szCs w:val="20"/>
              </w:rPr>
              <w:t xml:space="preserve"> outcomes when changes are made to the reactions of photosynthesis.</w:t>
            </w:r>
          </w:p>
        </w:tc>
      </w:tr>
    </w:tbl>
    <w:p w:rsidR="00FF44B4" w:rsidRPr="008B0F5A" w:rsidRDefault="00FF44B4">
      <w:pPr>
        <w:rPr>
          <w:sz w:val="20"/>
          <w:szCs w:val="20"/>
        </w:rPr>
      </w:pPr>
    </w:p>
    <w:sectPr w:rsidR="00FF44B4" w:rsidRPr="008B0F5A">
      <w:headerReference w:type="default" r:id="rId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E9" w:rsidRDefault="005538E9">
      <w:pPr>
        <w:spacing w:line="240" w:lineRule="auto"/>
      </w:pPr>
      <w:r>
        <w:separator/>
      </w:r>
    </w:p>
  </w:endnote>
  <w:endnote w:type="continuationSeparator" w:id="0">
    <w:p w:rsidR="005538E9" w:rsidRDefault="00553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E9" w:rsidRDefault="005538E9">
      <w:pPr>
        <w:spacing w:line="240" w:lineRule="auto"/>
      </w:pPr>
      <w:r>
        <w:separator/>
      </w:r>
    </w:p>
  </w:footnote>
  <w:footnote w:type="continuationSeparator" w:id="0">
    <w:p w:rsidR="005538E9" w:rsidRDefault="00553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4B4" w:rsidRDefault="00FF44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41F4"/>
    <w:multiLevelType w:val="multilevel"/>
    <w:tmpl w:val="F5BE1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9E61A0"/>
    <w:multiLevelType w:val="multilevel"/>
    <w:tmpl w:val="242C2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BD14A0"/>
    <w:multiLevelType w:val="multilevel"/>
    <w:tmpl w:val="056EB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124B7E"/>
    <w:multiLevelType w:val="multilevel"/>
    <w:tmpl w:val="D96C7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3C4B90"/>
    <w:multiLevelType w:val="multilevel"/>
    <w:tmpl w:val="37E24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0E1827"/>
    <w:multiLevelType w:val="multilevel"/>
    <w:tmpl w:val="6F188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B4"/>
    <w:rsid w:val="003C0D18"/>
    <w:rsid w:val="005538E9"/>
    <w:rsid w:val="008B0F5A"/>
    <w:rsid w:val="00FF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15F51-D52E-41EB-B63B-F0E2165D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Megan Feagles</cp:lastModifiedBy>
  <cp:revision>2</cp:revision>
  <dcterms:created xsi:type="dcterms:W3CDTF">2023-11-14T18:22:00Z</dcterms:created>
  <dcterms:modified xsi:type="dcterms:W3CDTF">2023-11-14T18:22:00Z</dcterms:modified>
</cp:coreProperties>
</file>